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22070" w14:textId="77777777" w:rsidR="00915EC3" w:rsidRDefault="00915EC3" w:rsidP="00915EC3">
      <w:pPr>
        <w:spacing w:beforeLines="0" w:before="0"/>
        <w:jc w:val="left"/>
        <w:rPr>
          <w:rFonts w:ascii="Minion-pro" w:hAnsi="Minion-pro" w:cs="Times New Roman" w:hint="eastAsia"/>
          <w:b/>
          <w:bCs/>
          <w:sz w:val="20"/>
          <w:szCs w:val="20"/>
        </w:rPr>
      </w:pPr>
      <w:r>
        <w:rPr>
          <w:rFonts w:ascii="Minion-pro" w:hAnsi="Minion-pro" w:cs="Times New Roman"/>
          <w:b/>
          <w:bCs/>
          <w:sz w:val="20"/>
          <w:szCs w:val="20"/>
        </w:rPr>
        <w:t>Supplementary Materials</w:t>
      </w:r>
    </w:p>
    <w:p w14:paraId="28D3315F" w14:textId="77777777" w:rsidR="00915EC3" w:rsidRDefault="00915EC3" w:rsidP="00915EC3">
      <w:pPr>
        <w:spacing w:beforeLines="0" w:before="0"/>
        <w:jc w:val="left"/>
        <w:rPr>
          <w:rFonts w:ascii="Minion-pro" w:hAnsi="Minion-pro" w:cs="Times New Roman" w:hint="eastAsia"/>
          <w:sz w:val="20"/>
          <w:szCs w:val="20"/>
        </w:rPr>
      </w:pPr>
      <w:r>
        <w:rPr>
          <w:rFonts w:ascii="Minion-pro" w:hAnsi="Minion-pro" w:cs="Times New Roman"/>
          <w:b/>
          <w:bCs/>
          <w:sz w:val="20"/>
          <w:szCs w:val="20"/>
        </w:rPr>
        <w:t>FIGURE S1</w:t>
      </w:r>
      <w:r>
        <w:rPr>
          <w:rFonts w:ascii="Minion-pro" w:hAnsi="Minion-pro" w:cs="Times New Roman"/>
          <w:sz w:val="20"/>
          <w:szCs w:val="20"/>
        </w:rPr>
        <w:t>. The flow chart of this study.</w:t>
      </w:r>
    </w:p>
    <w:p w14:paraId="4919C455" w14:textId="77777777" w:rsidR="00915EC3" w:rsidRDefault="00915EC3" w:rsidP="00915EC3">
      <w:pPr>
        <w:spacing w:beforeLines="0" w:before="0"/>
        <w:jc w:val="left"/>
        <w:rPr>
          <w:rFonts w:ascii="Minion-pro" w:hAnsi="Minion-pro" w:cs="Times New Roman" w:hint="eastAsia"/>
          <w:sz w:val="20"/>
          <w:szCs w:val="20"/>
        </w:rPr>
      </w:pPr>
      <w:r>
        <w:rPr>
          <w:rFonts w:ascii="Minion-pro" w:hAnsi="Minion-pro" w:cs="Times New Roman"/>
          <w:b/>
          <w:bCs/>
          <w:sz w:val="20"/>
          <w:szCs w:val="20"/>
        </w:rPr>
        <w:t>FIGURE S2</w:t>
      </w:r>
      <w:r>
        <w:rPr>
          <w:rFonts w:ascii="Minion-pro" w:hAnsi="Minion-pro" w:cs="Times New Roman"/>
          <w:sz w:val="20"/>
          <w:szCs w:val="20"/>
        </w:rPr>
        <w:t xml:space="preserve">. Univariate Cox regression analysis of </w:t>
      </w:r>
      <w:r>
        <w:rPr>
          <w:rFonts w:ascii="Minion-pro" w:hAnsi="Minion-pro"/>
          <w:sz w:val="20"/>
          <w:szCs w:val="20"/>
        </w:rPr>
        <w:t>aryl hydrocarbon receptor nuclear translocator (</w:t>
      </w:r>
      <w:r>
        <w:rPr>
          <w:rFonts w:ascii="Minion-pro" w:hAnsi="Minion-pro" w:cs="Times New Roman"/>
          <w:sz w:val="20"/>
          <w:szCs w:val="20"/>
        </w:rPr>
        <w:t xml:space="preserve">ARNT2) expression in relation to overall survival (OS) (A) and </w:t>
      </w:r>
      <w:r>
        <w:rPr>
          <w:rFonts w:ascii="Minion-pro" w:hAnsi="Minion-pro"/>
          <w:sz w:val="20"/>
          <w:szCs w:val="20"/>
        </w:rPr>
        <w:t>disease-specific survival (</w:t>
      </w:r>
      <w:r>
        <w:rPr>
          <w:rFonts w:ascii="Minion-pro" w:hAnsi="Minion-pro" w:cs="Times New Roman"/>
          <w:sz w:val="20"/>
          <w:szCs w:val="20"/>
        </w:rPr>
        <w:t>DSS) (B) in various cancer types. Log-rank test was conducted. CI, confidence interval.</w:t>
      </w:r>
    </w:p>
    <w:p w14:paraId="7C8DBAE8" w14:textId="77777777" w:rsidR="00915EC3" w:rsidRDefault="00915EC3" w:rsidP="00915EC3">
      <w:pPr>
        <w:spacing w:before="156"/>
        <w:rPr>
          <w:rFonts w:ascii="Minion-pro" w:hAnsi="Minion-pro" w:hint="eastAsia"/>
          <w:sz w:val="20"/>
          <w:szCs w:val="20"/>
        </w:rPr>
      </w:pPr>
      <w:r>
        <w:rPr>
          <w:rFonts w:ascii="Minion-pro" w:hAnsi="Minion-pro"/>
          <w:b/>
          <w:bCs/>
          <w:sz w:val="20"/>
          <w:szCs w:val="20"/>
        </w:rPr>
        <w:t>FIGURE S3</w:t>
      </w:r>
      <w:r>
        <w:rPr>
          <w:rFonts w:ascii="Minion-pro" w:hAnsi="Minion-pro"/>
          <w:sz w:val="20"/>
          <w:szCs w:val="20"/>
        </w:rPr>
        <w:t xml:space="preserve">. The expression and immunity of aryl hydrocarbon receptor nuclear translocator (ARNT2) in pan-cancer analysis. (A) The expression of ARNT2 in normal and tumor tissues in 30 cancer types. Wilcoxon rank sum test was conducted. (B) The expression of ARNT2 in different tissues. (C) Pearson correlation analysis between ARNT2 expression and four types of immune modulators (chemokines, MHC, receptors, and </w:t>
      </w:r>
      <w:proofErr w:type="spellStart"/>
      <w:r>
        <w:rPr>
          <w:rFonts w:ascii="Minion-pro" w:hAnsi="Minion-pro"/>
          <w:sz w:val="20"/>
          <w:szCs w:val="20"/>
        </w:rPr>
        <w:t>immunostimulators</w:t>
      </w:r>
      <w:proofErr w:type="spellEnd"/>
      <w:r>
        <w:rPr>
          <w:rFonts w:ascii="Minion-pro" w:hAnsi="Minion-pro"/>
          <w:sz w:val="20"/>
          <w:szCs w:val="20"/>
        </w:rPr>
        <w:t>). Orange and grey represent positive and negative correlations, respectively. (D) Pearson correlation analysis between ARNT2 expression and the enrichment of immune cells.</w:t>
      </w:r>
    </w:p>
    <w:p w14:paraId="644841CD" w14:textId="77777777" w:rsidR="00915EC3" w:rsidRDefault="00915EC3" w:rsidP="00915EC3">
      <w:pPr>
        <w:spacing w:before="156"/>
        <w:rPr>
          <w:rFonts w:ascii="Minion-pro" w:hAnsi="Minion-pro" w:hint="eastAsia"/>
          <w:sz w:val="20"/>
          <w:szCs w:val="20"/>
        </w:rPr>
      </w:pPr>
      <w:r>
        <w:rPr>
          <w:rFonts w:ascii="Minion-pro" w:hAnsi="Minion-pro"/>
          <w:sz w:val="20"/>
          <w:szCs w:val="20"/>
        </w:rPr>
        <w:t>ARNT2, aryl hydrocarbon receptor nuclear translocator; ACC, adrenocortical carcinoma; ALL, acute lymphoblastic leukemia; BLCA, bladder urothelial carcinoma; BRCA, breast invasive carcinoma; CESC, cervical squamous cell carcinoma and endocervical adenocarcinoma; CHOL, cholangiocarcinoma; COAD, colon adenocarcinoma; ESCA, esophageal carcinoma; GBM, glioblastoma multiforme; HNSC, head and neck squamous cell carcinoma; KICH, kidney chromophobe; KIRC, kidney renal clear cell carcinoma; KIRP, kidney renal papillary cell carcinoma; LAML, acute myeloid leukemia; LGG, brain lower grade glioma; LUAD, lung adenocarcinoma; LUSC, lung squamous cell carcinoma; OV, ovarian serous cystadenocarcinoma; PAAD, pancreatic adenocarcinoma; PCPG, pheochromocytoma and paraganglioma; PRAD, prostate adenocarcinoma; READ, rectum adenocarcinoma; SKCM, skin cutaneous melanoma; STAD, stomach adenocarcinoma; TGCT, testicular germ cell tumors; THCA, thyroid carcinoma; UCEC, uterine corpus endometrial carcinoma; UCS, uterine carcinosarcoma;</w:t>
      </w:r>
    </w:p>
    <w:p w14:paraId="4311487D" w14:textId="77777777" w:rsidR="00915EC3" w:rsidRDefault="00915EC3" w:rsidP="00915EC3">
      <w:pPr>
        <w:spacing w:before="156"/>
        <w:rPr>
          <w:rFonts w:ascii="Minion-pro" w:hAnsi="Minion-pro" w:hint="eastAsia"/>
          <w:sz w:val="20"/>
          <w:szCs w:val="20"/>
        </w:rPr>
      </w:pPr>
      <w:r>
        <w:rPr>
          <w:rFonts w:ascii="Minion-pro" w:hAnsi="Minion-pro"/>
          <w:b/>
          <w:bCs/>
          <w:sz w:val="20"/>
          <w:szCs w:val="20"/>
        </w:rPr>
        <w:t>FIGURE S4</w:t>
      </w:r>
      <w:r>
        <w:rPr>
          <w:rFonts w:ascii="Minion-pro" w:hAnsi="Minion-pro"/>
          <w:sz w:val="20"/>
          <w:szCs w:val="20"/>
        </w:rPr>
        <w:t xml:space="preserve">. The relation between aryl hydrocarbon receptor nuclear translocator (ARNT2) expression and genomic characteristics. (A-D) The correlation of ARNT2 expression with tumor mutation burden (TMB) (A), mutant-allele tumor heterogeneity (MATH) (B), homologous recombination deficiency (HRD) (C), and loss of heterozygosity (LOH) (D). </w:t>
      </w:r>
    </w:p>
    <w:p w14:paraId="0916B649" w14:textId="77777777" w:rsidR="00915EC3" w:rsidRDefault="00915EC3" w:rsidP="00915EC3">
      <w:pPr>
        <w:spacing w:beforeLines="0" w:before="0"/>
        <w:jc w:val="left"/>
        <w:rPr>
          <w:rFonts w:ascii="Minion-pro" w:hAnsi="Minion-pro" w:cs="Times New Roman" w:hint="eastAsia"/>
          <w:sz w:val="20"/>
          <w:szCs w:val="20"/>
        </w:rPr>
      </w:pPr>
      <w:r>
        <w:rPr>
          <w:rFonts w:ascii="Minion-pro" w:hAnsi="Minion-pro" w:cs="Times New Roman"/>
          <w:b/>
          <w:bCs/>
          <w:sz w:val="20"/>
          <w:szCs w:val="20"/>
        </w:rPr>
        <w:t>FIGURE S5</w:t>
      </w:r>
      <w:r>
        <w:rPr>
          <w:rFonts w:ascii="Minion-pro" w:hAnsi="Minion-pro" w:cs="Times New Roman"/>
          <w:sz w:val="20"/>
          <w:szCs w:val="20"/>
        </w:rPr>
        <w:t xml:space="preserve">. Unsupervised hierarchical clustering on the differentially enriched hallmark </w:t>
      </w:r>
      <w:r>
        <w:rPr>
          <w:rFonts w:ascii="Minion-pro" w:hAnsi="Minion-pro" w:cs="Times New Roman"/>
          <w:sz w:val="20"/>
          <w:szCs w:val="20"/>
        </w:rPr>
        <w:lastRenderedPageBreak/>
        <w:t>pathways in high- and low-ARNT2 expression groups.</w:t>
      </w:r>
    </w:p>
    <w:p w14:paraId="475BBDF3" w14:textId="77777777" w:rsidR="00915EC3" w:rsidRDefault="00915EC3" w:rsidP="00915EC3">
      <w:pPr>
        <w:spacing w:beforeLines="0" w:before="0"/>
        <w:jc w:val="left"/>
        <w:rPr>
          <w:rFonts w:ascii="Minion-pro" w:hAnsi="Minion-pro" w:cs="Times New Roman" w:hint="eastAsia"/>
          <w:sz w:val="20"/>
          <w:szCs w:val="20"/>
        </w:rPr>
      </w:pPr>
      <w:r>
        <w:rPr>
          <w:rFonts w:ascii="Minion-pro" w:hAnsi="Minion-pro" w:cs="Times New Roman"/>
          <w:b/>
          <w:bCs/>
          <w:sz w:val="20"/>
          <w:szCs w:val="20"/>
        </w:rPr>
        <w:t>FIGURE S6</w:t>
      </w:r>
      <w:r>
        <w:rPr>
          <w:rFonts w:ascii="Minion-pro" w:hAnsi="Minion-pro" w:cs="Times New Roman"/>
          <w:sz w:val="20"/>
          <w:szCs w:val="20"/>
        </w:rPr>
        <w:t>. Kaplan-Meier survival plot showing the overall survival of high- and low-ARNT2 expression groups. Log-rank test was conducted.</w:t>
      </w:r>
    </w:p>
    <w:sectPr w:rsidR="00915EC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5F967" w14:textId="77777777" w:rsidR="00CA6781" w:rsidRDefault="00CA6781" w:rsidP="00915EC3">
      <w:pPr>
        <w:spacing w:before="120" w:line="240" w:lineRule="auto"/>
      </w:pPr>
      <w:r>
        <w:separator/>
      </w:r>
    </w:p>
  </w:endnote>
  <w:endnote w:type="continuationSeparator" w:id="0">
    <w:p w14:paraId="49E352ED" w14:textId="77777777" w:rsidR="00CA6781" w:rsidRDefault="00CA6781" w:rsidP="00915EC3">
      <w:pPr>
        <w:spacing w:before="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Minion-pro">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328C0" w14:textId="77777777" w:rsidR="00CA6781" w:rsidRDefault="00CA6781" w:rsidP="00915EC3">
      <w:pPr>
        <w:spacing w:before="120" w:line="240" w:lineRule="auto"/>
      </w:pPr>
      <w:r>
        <w:separator/>
      </w:r>
    </w:p>
  </w:footnote>
  <w:footnote w:type="continuationSeparator" w:id="0">
    <w:p w14:paraId="3F95EF43" w14:textId="77777777" w:rsidR="00CA6781" w:rsidRDefault="00CA6781" w:rsidP="00915EC3">
      <w:pPr>
        <w:spacing w:before="12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F39"/>
    <w:rsid w:val="002F2F39"/>
    <w:rsid w:val="007C0CF3"/>
    <w:rsid w:val="00915EC3"/>
    <w:rsid w:val="00935D4B"/>
    <w:rsid w:val="00C82B77"/>
    <w:rsid w:val="00CA67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E58203E8-726D-4417-AE1B-7BBC885F2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5EC3"/>
    <w:pPr>
      <w:widowControl w:val="0"/>
      <w:spacing w:beforeLines="50" w:before="50" w:line="360" w:lineRule="auto"/>
      <w:jc w:val="both"/>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15EC3"/>
    <w:pPr>
      <w:tabs>
        <w:tab w:val="center" w:pos="4153"/>
        <w:tab w:val="right" w:pos="8306"/>
      </w:tabs>
      <w:snapToGrid w:val="0"/>
      <w:spacing w:beforeLines="0" w:before="0" w:line="240" w:lineRule="auto"/>
      <w:jc w:val="center"/>
    </w:pPr>
    <w:rPr>
      <w:rFonts w:asciiTheme="minorHAnsi" w:hAnsiTheme="minorHAnsi"/>
      <w:sz w:val="18"/>
      <w:szCs w:val="18"/>
    </w:rPr>
  </w:style>
  <w:style w:type="character" w:customStyle="1" w:styleId="a4">
    <w:name w:val="页眉 字符"/>
    <w:basedOn w:val="a0"/>
    <w:link w:val="a3"/>
    <w:uiPriority w:val="99"/>
    <w:rsid w:val="00915EC3"/>
    <w:rPr>
      <w:sz w:val="18"/>
      <w:szCs w:val="18"/>
    </w:rPr>
  </w:style>
  <w:style w:type="paragraph" w:styleId="a5">
    <w:name w:val="footer"/>
    <w:basedOn w:val="a"/>
    <w:link w:val="a6"/>
    <w:uiPriority w:val="99"/>
    <w:unhideWhenUsed/>
    <w:rsid w:val="00915EC3"/>
    <w:pPr>
      <w:tabs>
        <w:tab w:val="center" w:pos="4153"/>
        <w:tab w:val="right" w:pos="8306"/>
      </w:tabs>
      <w:snapToGrid w:val="0"/>
      <w:spacing w:beforeLines="0" w:before="0" w:line="240" w:lineRule="auto"/>
      <w:jc w:val="left"/>
    </w:pPr>
    <w:rPr>
      <w:rFonts w:asciiTheme="minorHAnsi" w:hAnsiTheme="minorHAnsi"/>
      <w:sz w:val="18"/>
      <w:szCs w:val="18"/>
    </w:rPr>
  </w:style>
  <w:style w:type="character" w:customStyle="1" w:styleId="a6">
    <w:name w:val="页脚 字符"/>
    <w:basedOn w:val="a0"/>
    <w:link w:val="a5"/>
    <w:uiPriority w:val="99"/>
    <w:rsid w:val="00915EC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385</Words>
  <Characters>2196</Characters>
  <Application>Microsoft Office Word</Application>
  <DocSecurity>0</DocSecurity>
  <Lines>18</Lines>
  <Paragraphs>5</Paragraphs>
  <ScaleCrop>false</ScaleCrop>
  <Company/>
  <LinksUpToDate>false</LinksUpToDate>
  <CharactersWithSpaces>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Esha Hong</dc:creator>
  <cp:keywords/>
  <dc:description/>
  <cp:lastModifiedBy>Administrator</cp:lastModifiedBy>
  <cp:revision>4</cp:revision>
  <dcterms:created xsi:type="dcterms:W3CDTF">2023-09-20T08:25:00Z</dcterms:created>
  <dcterms:modified xsi:type="dcterms:W3CDTF">2023-09-21T01:06:00Z</dcterms:modified>
</cp:coreProperties>
</file>